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CC" w:rsidRDefault="00DB08CC" w:rsidP="00AF207A">
      <w:pPr>
        <w:contextualSpacing/>
      </w:pPr>
    </w:p>
    <w:p w:rsidR="00A33D65" w:rsidRDefault="00A33D65" w:rsidP="00AF207A">
      <w:pPr>
        <w:contextualSpacing/>
      </w:pPr>
    </w:p>
    <w:p w:rsidR="00D803E2" w:rsidRPr="00FA14EF" w:rsidRDefault="00D803E2" w:rsidP="00D803E2">
      <w:pPr>
        <w:pStyle w:val="Heading3"/>
        <w:jc w:val="center"/>
      </w:pPr>
      <w:r>
        <w:t>Summary of Terms</w:t>
      </w:r>
    </w:p>
    <w:p w:rsidR="00D803E2" w:rsidRPr="00FA14EF" w:rsidRDefault="00D803E2" w:rsidP="00D803E2">
      <w:pPr>
        <w:pStyle w:val="Heading3"/>
        <w:jc w:val="center"/>
      </w:pPr>
      <w:r w:rsidRPr="00FA14EF">
        <w:t>ETODAF Acquisition Loans and Acquisition/Predevelopment Loans</w:t>
      </w:r>
    </w:p>
    <w:p w:rsidR="00A33D65" w:rsidRPr="00FA14EF" w:rsidRDefault="00A33D65" w:rsidP="00AF207A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FA14EF" w:rsidRPr="00FA14EF" w:rsidTr="00DB08CC">
        <w:tc>
          <w:tcPr>
            <w:tcW w:w="2250" w:type="dxa"/>
            <w:vAlign w:val="center"/>
          </w:tcPr>
          <w:p w:rsidR="00DB08CC" w:rsidRPr="00FA14EF" w:rsidRDefault="00DB08CC" w:rsidP="001619D6">
            <w:pPr>
              <w:pStyle w:val="Heading2"/>
              <w:outlineLvl w:val="1"/>
              <w:rPr>
                <w:smallCaps/>
                <w:color w:val="auto"/>
              </w:rPr>
            </w:pPr>
            <w:bookmarkStart w:id="0" w:name="_GoBack"/>
            <w:r w:rsidRPr="00FA14EF">
              <w:rPr>
                <w:smallCaps/>
                <w:color w:val="auto"/>
              </w:rPr>
              <w:lastRenderedPageBreak/>
              <w:t>Amount of Loan</w:t>
            </w:r>
          </w:p>
        </w:tc>
        <w:tc>
          <w:tcPr>
            <w:tcW w:w="7100" w:type="dxa"/>
          </w:tcPr>
          <w:p w:rsidR="00DB08CC" w:rsidRPr="00FA14EF" w:rsidRDefault="00DB08CC" w:rsidP="00DB08CC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$200,000- $1,500,000</w:t>
            </w:r>
          </w:p>
        </w:tc>
      </w:tr>
      <w:bookmarkEnd w:id="0"/>
      <w:tr w:rsidR="00FA14EF" w:rsidRPr="00FA14EF" w:rsidTr="00F108B1">
        <w:tc>
          <w:tcPr>
            <w:tcW w:w="2250" w:type="dxa"/>
          </w:tcPr>
          <w:p w:rsidR="00DB08CC" w:rsidRPr="00FA14EF" w:rsidRDefault="00DB08CC" w:rsidP="00F108B1">
            <w:pPr>
              <w:pStyle w:val="Heading2"/>
              <w:outlineLvl w:val="1"/>
              <w:rPr>
                <w:smallCaps/>
                <w:color w:val="auto"/>
              </w:rPr>
            </w:pPr>
            <w:r w:rsidRPr="00FA14EF">
              <w:rPr>
                <w:smallCaps/>
                <w:color w:val="auto"/>
              </w:rPr>
              <w:t>Eligible Uses</w:t>
            </w:r>
          </w:p>
        </w:tc>
        <w:tc>
          <w:tcPr>
            <w:tcW w:w="7100" w:type="dxa"/>
          </w:tcPr>
          <w:p w:rsidR="00DB08CC" w:rsidRPr="00FA14EF" w:rsidRDefault="00DB08CC" w:rsidP="00DB08CC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Acquisition of real estate, holding costs, and eligible predevelopment costs for TOD properties meeting the Fund’s TOD criteria</w:t>
            </w:r>
          </w:p>
          <w:p w:rsidR="00DB08CC" w:rsidRPr="00FA14EF" w:rsidRDefault="00DB08CC" w:rsidP="00DB08CC">
            <w:pPr>
              <w:pStyle w:val="Heading3"/>
              <w:outlineLvl w:val="2"/>
              <w:rPr>
                <w:color w:val="auto"/>
              </w:rPr>
            </w:pPr>
          </w:p>
          <w:p w:rsidR="00DB08CC" w:rsidRPr="00FA14EF" w:rsidRDefault="00DB08CC" w:rsidP="00DB08CC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Eligible projects include:</w:t>
            </w:r>
          </w:p>
          <w:p w:rsidR="00DB08CC" w:rsidRPr="00FA14EF" w:rsidRDefault="00DB08CC" w:rsidP="00AF207A">
            <w:pPr>
              <w:pStyle w:val="Heading3"/>
              <w:numPr>
                <w:ilvl w:val="0"/>
                <w:numId w:val="1"/>
              </w:numPr>
              <w:contextualSpacing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New or preservation affordable housing</w:t>
            </w:r>
          </w:p>
          <w:p w:rsidR="00DB08CC" w:rsidRPr="00FA14EF" w:rsidRDefault="00DB08CC" w:rsidP="00AF207A">
            <w:pPr>
              <w:pStyle w:val="Heading3"/>
              <w:numPr>
                <w:ilvl w:val="0"/>
                <w:numId w:val="1"/>
              </w:numPr>
              <w:contextualSpacing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Mixed Income housing</w:t>
            </w:r>
          </w:p>
          <w:p w:rsidR="00DB08CC" w:rsidRPr="00FA14EF" w:rsidRDefault="00DB08CC" w:rsidP="00AF207A">
            <w:pPr>
              <w:pStyle w:val="Heading3"/>
              <w:numPr>
                <w:ilvl w:val="0"/>
                <w:numId w:val="1"/>
              </w:numPr>
              <w:contextualSpacing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Mixed Use housing</w:t>
            </w:r>
          </w:p>
          <w:p w:rsidR="00DB08CC" w:rsidRPr="00FA14EF" w:rsidRDefault="00DB08CC" w:rsidP="00DB08CC">
            <w:pPr>
              <w:pStyle w:val="Heading3"/>
              <w:outlineLvl w:val="2"/>
              <w:rPr>
                <w:color w:val="auto"/>
              </w:rPr>
            </w:pPr>
          </w:p>
        </w:tc>
      </w:tr>
      <w:tr w:rsidR="00FA14EF" w:rsidRPr="00FA14EF" w:rsidTr="00F108B1">
        <w:tc>
          <w:tcPr>
            <w:tcW w:w="2250" w:type="dxa"/>
          </w:tcPr>
          <w:p w:rsidR="00DB08CC" w:rsidRPr="00FA14EF" w:rsidRDefault="00DB08CC" w:rsidP="00F108B1">
            <w:pPr>
              <w:pStyle w:val="Heading2"/>
              <w:outlineLvl w:val="1"/>
              <w:rPr>
                <w:smallCaps/>
                <w:color w:val="auto"/>
              </w:rPr>
            </w:pPr>
            <w:r w:rsidRPr="00FA14EF">
              <w:rPr>
                <w:smallCaps/>
                <w:color w:val="auto"/>
              </w:rPr>
              <w:t>Affordability</w:t>
            </w:r>
          </w:p>
        </w:tc>
        <w:tc>
          <w:tcPr>
            <w:tcW w:w="7100" w:type="dxa"/>
          </w:tcPr>
          <w:p w:rsidR="00DB08CC" w:rsidRPr="00FA14EF" w:rsidRDefault="00DB08CC" w:rsidP="00DB08CC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 xml:space="preserve">At least 25% of the units must be affordable to households below 80% of AMI.  Higher standards may apply in areas where gentrification is occurring. </w:t>
            </w:r>
          </w:p>
          <w:p w:rsidR="00DB08CC" w:rsidRPr="00FA14EF" w:rsidRDefault="00DB08CC" w:rsidP="00DB08CC"/>
          <w:p w:rsidR="00DB08CC" w:rsidRPr="00FA14EF" w:rsidRDefault="00DB08CC" w:rsidP="00DB08CC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 xml:space="preserve">Project must </w:t>
            </w:r>
            <w:r w:rsidR="00AF207A" w:rsidRPr="00FA14EF">
              <w:rPr>
                <w:color w:val="auto"/>
              </w:rPr>
              <w:t xml:space="preserve">comply </w:t>
            </w:r>
            <w:r w:rsidRPr="00FA14EF">
              <w:rPr>
                <w:color w:val="auto"/>
              </w:rPr>
              <w:t xml:space="preserve">with the </w:t>
            </w:r>
            <w:r w:rsidRPr="00FA14EF">
              <w:rPr>
                <w:i/>
                <w:color w:val="auto"/>
              </w:rPr>
              <w:t>Mass Interagency Agreement Regarding Housing Opportunities for F</w:t>
            </w:r>
            <w:r w:rsidR="00AF207A" w:rsidRPr="00FA14EF">
              <w:rPr>
                <w:i/>
                <w:color w:val="auto"/>
              </w:rPr>
              <w:t>amilies with Children (1/2014</w:t>
            </w:r>
            <w:r w:rsidR="00AF207A" w:rsidRPr="00FA14EF">
              <w:rPr>
                <w:color w:val="auto"/>
              </w:rPr>
              <w:t>) and should include 10% 3 bedroom units unless specifically waived.</w:t>
            </w:r>
          </w:p>
          <w:p w:rsidR="00AF207A" w:rsidRPr="00FA14EF" w:rsidRDefault="00AF207A" w:rsidP="00AF207A"/>
        </w:tc>
      </w:tr>
      <w:tr w:rsidR="00FA14EF" w:rsidRPr="00FA14EF" w:rsidTr="00F108B1">
        <w:tc>
          <w:tcPr>
            <w:tcW w:w="2250" w:type="dxa"/>
          </w:tcPr>
          <w:p w:rsidR="00DB08CC" w:rsidRPr="00FA14EF" w:rsidRDefault="00DB08CC" w:rsidP="00F108B1">
            <w:pPr>
              <w:pStyle w:val="Heading2"/>
              <w:outlineLvl w:val="1"/>
              <w:rPr>
                <w:smallCaps/>
                <w:color w:val="auto"/>
              </w:rPr>
            </w:pPr>
            <w:r w:rsidRPr="00FA14EF">
              <w:rPr>
                <w:smallCaps/>
                <w:color w:val="auto"/>
              </w:rPr>
              <w:t>Maximum LTV</w:t>
            </w:r>
          </w:p>
        </w:tc>
        <w:tc>
          <w:tcPr>
            <w:tcW w:w="7100" w:type="dxa"/>
          </w:tcPr>
          <w:p w:rsidR="00DB08CC" w:rsidRPr="00FA14EF" w:rsidRDefault="00DB08CC" w:rsidP="00DB08CC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 xml:space="preserve">When combined with Lead Lender loans, up to 100% of appraised value of the real estate and up to 120% of the value when including holding and predevelopment costs. </w:t>
            </w:r>
          </w:p>
          <w:p w:rsidR="00AF207A" w:rsidRPr="00FA14EF" w:rsidRDefault="00AF207A" w:rsidP="00AF207A"/>
        </w:tc>
      </w:tr>
      <w:tr w:rsidR="00FA14EF" w:rsidRPr="00FA14EF" w:rsidTr="00F108B1">
        <w:tc>
          <w:tcPr>
            <w:tcW w:w="2250" w:type="dxa"/>
          </w:tcPr>
          <w:p w:rsidR="00DB08CC" w:rsidRPr="00FA14EF" w:rsidRDefault="00DB08CC" w:rsidP="00F108B1">
            <w:pPr>
              <w:pStyle w:val="Heading2"/>
              <w:outlineLvl w:val="1"/>
              <w:rPr>
                <w:smallCaps/>
                <w:color w:val="auto"/>
              </w:rPr>
            </w:pPr>
            <w:r w:rsidRPr="00FA14EF">
              <w:rPr>
                <w:smallCaps/>
                <w:color w:val="auto"/>
              </w:rPr>
              <w:t>Rate</w:t>
            </w:r>
          </w:p>
        </w:tc>
        <w:tc>
          <w:tcPr>
            <w:tcW w:w="7100" w:type="dxa"/>
          </w:tcPr>
          <w:p w:rsidR="00DB08CC" w:rsidRPr="00FA14EF" w:rsidRDefault="00DB08CC" w:rsidP="00DB08CC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Non-profit borrowers: Fixed rate of 3.75%</w:t>
            </w:r>
          </w:p>
          <w:p w:rsidR="00DB08CC" w:rsidRPr="00FA14EF" w:rsidRDefault="00DB08CC" w:rsidP="00DB08CC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For-profit borrowers: Fixed rate of 4.25%</w:t>
            </w:r>
          </w:p>
          <w:p w:rsidR="00AF207A" w:rsidRPr="00FA14EF" w:rsidRDefault="00AF207A" w:rsidP="00AF207A"/>
        </w:tc>
      </w:tr>
      <w:tr w:rsidR="00FA14EF" w:rsidRPr="00FA14EF" w:rsidTr="00F108B1">
        <w:tc>
          <w:tcPr>
            <w:tcW w:w="2250" w:type="dxa"/>
          </w:tcPr>
          <w:p w:rsidR="00DB08CC" w:rsidRPr="00FA14EF" w:rsidRDefault="00DB08CC" w:rsidP="00F108B1">
            <w:pPr>
              <w:pStyle w:val="Heading2"/>
              <w:outlineLvl w:val="1"/>
              <w:rPr>
                <w:smallCaps/>
                <w:color w:val="auto"/>
              </w:rPr>
            </w:pPr>
            <w:r w:rsidRPr="00FA14EF">
              <w:rPr>
                <w:smallCaps/>
                <w:color w:val="auto"/>
              </w:rPr>
              <w:t>Term</w:t>
            </w:r>
          </w:p>
        </w:tc>
        <w:tc>
          <w:tcPr>
            <w:tcW w:w="7100" w:type="dxa"/>
          </w:tcPr>
          <w:p w:rsidR="00DB08CC" w:rsidRPr="00FA14EF" w:rsidRDefault="00DB08CC" w:rsidP="00DB08CC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2-3 years. Repayment is due at earlier of maturity or closing of construction financing</w:t>
            </w:r>
          </w:p>
          <w:p w:rsidR="00AF207A" w:rsidRPr="00FA14EF" w:rsidRDefault="00AF207A" w:rsidP="00AF207A"/>
        </w:tc>
      </w:tr>
      <w:tr w:rsidR="00FA14EF" w:rsidRPr="00FA14EF" w:rsidTr="00F108B1">
        <w:tc>
          <w:tcPr>
            <w:tcW w:w="2250" w:type="dxa"/>
          </w:tcPr>
          <w:p w:rsidR="00DB08CC" w:rsidRPr="00FA14EF" w:rsidRDefault="00DB08CC" w:rsidP="00F108B1">
            <w:pPr>
              <w:pStyle w:val="Heading2"/>
              <w:outlineLvl w:val="1"/>
              <w:rPr>
                <w:smallCaps/>
                <w:color w:val="auto"/>
              </w:rPr>
            </w:pPr>
            <w:r w:rsidRPr="00FA14EF">
              <w:rPr>
                <w:smallCaps/>
                <w:color w:val="auto"/>
              </w:rPr>
              <w:t>Guaranty/Recourse</w:t>
            </w:r>
          </w:p>
        </w:tc>
        <w:tc>
          <w:tcPr>
            <w:tcW w:w="7100" w:type="dxa"/>
          </w:tcPr>
          <w:p w:rsidR="00DB08CC" w:rsidRPr="00FA14EF" w:rsidRDefault="00DB08CC" w:rsidP="00DB08CC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ETODAF loans are recourse loans</w:t>
            </w:r>
          </w:p>
          <w:p w:rsidR="00AF207A" w:rsidRPr="00FA14EF" w:rsidRDefault="00AF207A" w:rsidP="00AF207A"/>
        </w:tc>
      </w:tr>
      <w:tr w:rsidR="00FA14EF" w:rsidRPr="00FA14EF" w:rsidTr="00F108B1">
        <w:tc>
          <w:tcPr>
            <w:tcW w:w="2250" w:type="dxa"/>
          </w:tcPr>
          <w:p w:rsidR="00DB08CC" w:rsidRPr="00FA14EF" w:rsidRDefault="00DB08CC" w:rsidP="00F108B1">
            <w:pPr>
              <w:pStyle w:val="Heading2"/>
              <w:outlineLvl w:val="1"/>
              <w:rPr>
                <w:smallCaps/>
                <w:color w:val="auto"/>
              </w:rPr>
            </w:pPr>
            <w:r w:rsidRPr="00FA14EF">
              <w:rPr>
                <w:smallCaps/>
                <w:color w:val="auto"/>
              </w:rPr>
              <w:t>Security</w:t>
            </w:r>
          </w:p>
        </w:tc>
        <w:tc>
          <w:tcPr>
            <w:tcW w:w="7100" w:type="dxa"/>
          </w:tcPr>
          <w:p w:rsidR="00DB08CC" w:rsidRPr="00FA14EF" w:rsidRDefault="00DB08CC" w:rsidP="00DB08CC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Second priority mortgage on project real estate</w:t>
            </w:r>
          </w:p>
          <w:p w:rsidR="00AF207A" w:rsidRPr="00FA14EF" w:rsidRDefault="00AF207A" w:rsidP="00AF207A"/>
        </w:tc>
      </w:tr>
      <w:tr w:rsidR="00FA14EF" w:rsidRPr="00FA14EF" w:rsidTr="00F108B1">
        <w:tc>
          <w:tcPr>
            <w:tcW w:w="2250" w:type="dxa"/>
          </w:tcPr>
          <w:p w:rsidR="00DB08CC" w:rsidRPr="00FA14EF" w:rsidRDefault="00DB08CC" w:rsidP="00F108B1">
            <w:pPr>
              <w:pStyle w:val="Heading2"/>
              <w:outlineLvl w:val="1"/>
              <w:rPr>
                <w:smallCaps/>
                <w:color w:val="auto"/>
              </w:rPr>
            </w:pPr>
            <w:r w:rsidRPr="00FA14EF">
              <w:rPr>
                <w:smallCaps/>
                <w:color w:val="auto"/>
              </w:rPr>
              <w:t>Fees</w:t>
            </w:r>
          </w:p>
        </w:tc>
        <w:tc>
          <w:tcPr>
            <w:tcW w:w="7100" w:type="dxa"/>
          </w:tcPr>
          <w:p w:rsidR="00AF207A" w:rsidRPr="00FA14EF" w:rsidRDefault="00AF207A" w:rsidP="00AF207A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1% of loan amount; 50% payable on acceptance of term sheet, remainder due at closing</w:t>
            </w:r>
          </w:p>
          <w:p w:rsidR="00AF207A" w:rsidRPr="00FA14EF" w:rsidRDefault="00AF207A" w:rsidP="00AF207A"/>
          <w:p w:rsidR="00AF207A" w:rsidRPr="00FA14EF" w:rsidRDefault="00AF207A" w:rsidP="00AF207A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Lender Legal Fees to be paid by borrower but every effort will be made to streamline the closing process in coordination with Lead Lender</w:t>
            </w:r>
          </w:p>
        </w:tc>
      </w:tr>
    </w:tbl>
    <w:p w:rsidR="00DB08CC" w:rsidRPr="00FA14EF" w:rsidRDefault="00DB08CC" w:rsidP="00DB08CC"/>
    <w:p w:rsidR="00A33D65" w:rsidRDefault="00A33D65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:rsidR="00AF207A" w:rsidRPr="00FA14EF" w:rsidRDefault="00A33D65" w:rsidP="00FA14EF">
      <w:pPr>
        <w:pStyle w:val="Heading3"/>
        <w:jc w:val="center"/>
      </w:pPr>
      <w:r>
        <w:lastRenderedPageBreak/>
        <w:t>Summary of Terms</w:t>
      </w:r>
    </w:p>
    <w:p w:rsidR="00AF207A" w:rsidRDefault="00AF207A" w:rsidP="00FA14EF">
      <w:pPr>
        <w:pStyle w:val="Heading3"/>
        <w:jc w:val="center"/>
      </w:pPr>
      <w:r w:rsidRPr="00FA14EF">
        <w:t>ETODAF Predevelopment Only Loans</w:t>
      </w:r>
    </w:p>
    <w:p w:rsidR="00FA14EF" w:rsidRDefault="00FA14EF" w:rsidP="00FA14EF"/>
    <w:p w:rsidR="00A33D65" w:rsidRPr="00FA14EF" w:rsidRDefault="00A33D65" w:rsidP="00FA14EF">
      <w:r>
        <w:t>ETODAF will make Predevelopment loans to projects not needing acquisition financing. LISC will be the lead lender for these loans and will handle all origination, underwriting, closing and disbursement.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FA14EF" w:rsidRPr="00FA14EF" w:rsidTr="00F108B1">
        <w:tc>
          <w:tcPr>
            <w:tcW w:w="2250" w:type="dxa"/>
          </w:tcPr>
          <w:p w:rsidR="00AF207A" w:rsidRPr="00FA14EF" w:rsidRDefault="00AF207A" w:rsidP="00F108B1">
            <w:pPr>
              <w:pStyle w:val="Heading2"/>
              <w:outlineLvl w:val="1"/>
              <w:rPr>
                <w:smallCaps/>
                <w:color w:val="auto"/>
              </w:rPr>
            </w:pPr>
            <w:r w:rsidRPr="00FA14EF">
              <w:rPr>
                <w:smallCaps/>
                <w:color w:val="auto"/>
              </w:rPr>
              <w:lastRenderedPageBreak/>
              <w:t>Amount of Loan</w:t>
            </w:r>
          </w:p>
        </w:tc>
        <w:tc>
          <w:tcPr>
            <w:tcW w:w="7100" w:type="dxa"/>
          </w:tcPr>
          <w:p w:rsidR="00AF207A" w:rsidRPr="00FA14EF" w:rsidRDefault="00AF207A" w:rsidP="00AF207A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$200,000- $500,000</w:t>
            </w:r>
            <w:r w:rsidR="00D32C8F" w:rsidRPr="00FA14EF">
              <w:rPr>
                <w:color w:val="auto"/>
              </w:rPr>
              <w:t xml:space="preserve">; for unsecured loans, the maximum amount may be lower. Funds will be disbursed </w:t>
            </w:r>
            <w:r w:rsidR="00FA14EF" w:rsidRPr="00FA14EF">
              <w:rPr>
                <w:color w:val="auto"/>
              </w:rPr>
              <w:t xml:space="preserve">as </w:t>
            </w:r>
            <w:r w:rsidR="00D32C8F" w:rsidRPr="00FA14EF">
              <w:rPr>
                <w:color w:val="auto"/>
              </w:rPr>
              <w:t>project</w:t>
            </w:r>
            <w:r w:rsidR="00FA14EF" w:rsidRPr="00FA14EF">
              <w:rPr>
                <w:color w:val="auto"/>
              </w:rPr>
              <w:t xml:space="preserve"> progresses toward agreed upon benchmarks.</w:t>
            </w:r>
          </w:p>
          <w:p w:rsidR="00D32C8F" w:rsidRPr="00FA14EF" w:rsidRDefault="00D32C8F" w:rsidP="00D32C8F">
            <w:pPr>
              <w:pStyle w:val="Heading3"/>
              <w:outlineLvl w:val="2"/>
              <w:rPr>
                <w:color w:val="auto"/>
              </w:rPr>
            </w:pPr>
          </w:p>
        </w:tc>
      </w:tr>
      <w:tr w:rsidR="00FA14EF" w:rsidRPr="00FA14EF" w:rsidTr="00F108B1">
        <w:tc>
          <w:tcPr>
            <w:tcW w:w="2250" w:type="dxa"/>
          </w:tcPr>
          <w:p w:rsidR="00AF207A" w:rsidRPr="00FA14EF" w:rsidRDefault="00AF207A" w:rsidP="00F108B1">
            <w:pPr>
              <w:pStyle w:val="Heading2"/>
              <w:outlineLvl w:val="1"/>
              <w:rPr>
                <w:smallCaps/>
                <w:color w:val="auto"/>
              </w:rPr>
            </w:pPr>
            <w:r w:rsidRPr="00FA14EF">
              <w:rPr>
                <w:smallCaps/>
                <w:color w:val="auto"/>
              </w:rPr>
              <w:t>Eligible Uses</w:t>
            </w:r>
          </w:p>
        </w:tc>
        <w:tc>
          <w:tcPr>
            <w:tcW w:w="7100" w:type="dxa"/>
          </w:tcPr>
          <w:p w:rsidR="00AF207A" w:rsidRPr="00FA14EF" w:rsidRDefault="00AF207A" w:rsidP="00B302D9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Mortgageable third party costs such as design, engineering, market and environmental studies, development consultants, financing fees, legal costs for TOD properties meeting the Fund’s TOD criteria</w:t>
            </w:r>
          </w:p>
          <w:p w:rsidR="00AF207A" w:rsidRPr="00FA14EF" w:rsidRDefault="00AF207A" w:rsidP="00D32C8F">
            <w:pPr>
              <w:pStyle w:val="Heading3"/>
              <w:ind w:left="720"/>
              <w:outlineLvl w:val="2"/>
              <w:rPr>
                <w:color w:val="auto"/>
              </w:rPr>
            </w:pPr>
          </w:p>
        </w:tc>
      </w:tr>
      <w:tr w:rsidR="00FA14EF" w:rsidRPr="00FA14EF" w:rsidTr="00F108B1">
        <w:tc>
          <w:tcPr>
            <w:tcW w:w="2250" w:type="dxa"/>
          </w:tcPr>
          <w:p w:rsidR="00AF207A" w:rsidRPr="00FA14EF" w:rsidRDefault="00AF207A" w:rsidP="00F108B1">
            <w:pPr>
              <w:pStyle w:val="Heading2"/>
              <w:outlineLvl w:val="1"/>
              <w:rPr>
                <w:smallCaps/>
                <w:color w:val="auto"/>
              </w:rPr>
            </w:pPr>
            <w:r w:rsidRPr="00FA14EF">
              <w:rPr>
                <w:smallCaps/>
                <w:color w:val="auto"/>
              </w:rPr>
              <w:t>Affordability</w:t>
            </w:r>
          </w:p>
        </w:tc>
        <w:tc>
          <w:tcPr>
            <w:tcW w:w="7100" w:type="dxa"/>
          </w:tcPr>
          <w:p w:rsidR="00AF207A" w:rsidRPr="00FA14EF" w:rsidRDefault="00AF207A" w:rsidP="00B302D9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 xml:space="preserve">At least 25% of the units must be affordable to households below 80% of AMI.  Higher standards may apply in areas where gentrification </w:t>
            </w:r>
            <w:r w:rsidR="00FA14EF" w:rsidRPr="00FA14EF">
              <w:rPr>
                <w:color w:val="auto"/>
              </w:rPr>
              <w:t>may</w:t>
            </w:r>
            <w:r w:rsidRPr="00FA14EF">
              <w:rPr>
                <w:color w:val="auto"/>
              </w:rPr>
              <w:t xml:space="preserve"> </w:t>
            </w:r>
            <w:r w:rsidR="00FA14EF" w:rsidRPr="00FA14EF">
              <w:rPr>
                <w:color w:val="auto"/>
              </w:rPr>
              <w:t>occur</w:t>
            </w:r>
            <w:r w:rsidRPr="00FA14EF">
              <w:rPr>
                <w:color w:val="auto"/>
              </w:rPr>
              <w:t xml:space="preserve">. </w:t>
            </w:r>
          </w:p>
          <w:p w:rsidR="00AF207A" w:rsidRPr="00FA14EF" w:rsidRDefault="00AF207A" w:rsidP="00B302D9"/>
          <w:p w:rsidR="00AF207A" w:rsidRPr="00FA14EF" w:rsidRDefault="00AF207A" w:rsidP="00B302D9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 xml:space="preserve">Project must comply with the </w:t>
            </w:r>
            <w:r w:rsidRPr="00FA14EF">
              <w:rPr>
                <w:i/>
                <w:color w:val="auto"/>
              </w:rPr>
              <w:t>Mass Interagency Agreement Regarding Housing Opportunities for Families with Children (1/2014</w:t>
            </w:r>
            <w:r w:rsidRPr="00FA14EF">
              <w:rPr>
                <w:color w:val="auto"/>
              </w:rPr>
              <w:t>) and should include 10% 3 bedroom units unless specifically waived.</w:t>
            </w:r>
          </w:p>
          <w:p w:rsidR="00AF207A" w:rsidRPr="00FA14EF" w:rsidRDefault="00AF207A" w:rsidP="00B302D9"/>
        </w:tc>
      </w:tr>
      <w:tr w:rsidR="00FA14EF" w:rsidRPr="00FA14EF" w:rsidTr="00F108B1">
        <w:tc>
          <w:tcPr>
            <w:tcW w:w="2250" w:type="dxa"/>
          </w:tcPr>
          <w:p w:rsidR="00AF207A" w:rsidRPr="00FA14EF" w:rsidRDefault="00AF207A" w:rsidP="00F108B1">
            <w:pPr>
              <w:pStyle w:val="Heading2"/>
              <w:outlineLvl w:val="1"/>
              <w:rPr>
                <w:smallCaps/>
                <w:color w:val="auto"/>
              </w:rPr>
            </w:pPr>
            <w:r w:rsidRPr="00FA14EF">
              <w:rPr>
                <w:smallCaps/>
                <w:color w:val="auto"/>
              </w:rPr>
              <w:t>Maximum LTV</w:t>
            </w:r>
          </w:p>
        </w:tc>
        <w:tc>
          <w:tcPr>
            <w:tcW w:w="7100" w:type="dxa"/>
          </w:tcPr>
          <w:p w:rsidR="00D32C8F" w:rsidRPr="00FA14EF" w:rsidRDefault="00D32C8F" w:rsidP="00B302D9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 xml:space="preserve">Lead Lender plus </w:t>
            </w:r>
            <w:r w:rsidR="00FA14EF" w:rsidRPr="00FA14EF">
              <w:rPr>
                <w:color w:val="auto"/>
              </w:rPr>
              <w:t>ETODAF</w:t>
            </w:r>
            <w:r w:rsidRPr="00FA14EF">
              <w:rPr>
                <w:color w:val="auto"/>
              </w:rPr>
              <w:t xml:space="preserve"> loan may be up to 120% of LTV</w:t>
            </w:r>
          </w:p>
          <w:p w:rsidR="00AF207A" w:rsidRPr="00FA14EF" w:rsidRDefault="00AF207A" w:rsidP="00D32C8F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 xml:space="preserve"> </w:t>
            </w:r>
          </w:p>
        </w:tc>
      </w:tr>
      <w:tr w:rsidR="00FA14EF" w:rsidRPr="00FA14EF" w:rsidTr="00F108B1">
        <w:tc>
          <w:tcPr>
            <w:tcW w:w="2250" w:type="dxa"/>
          </w:tcPr>
          <w:p w:rsidR="00AF207A" w:rsidRPr="00FA14EF" w:rsidRDefault="00AF207A" w:rsidP="00F108B1">
            <w:pPr>
              <w:pStyle w:val="Heading2"/>
              <w:outlineLvl w:val="1"/>
              <w:rPr>
                <w:smallCaps/>
                <w:color w:val="auto"/>
              </w:rPr>
            </w:pPr>
            <w:r w:rsidRPr="00FA14EF">
              <w:rPr>
                <w:smallCaps/>
                <w:color w:val="auto"/>
              </w:rPr>
              <w:t>Rate</w:t>
            </w:r>
          </w:p>
        </w:tc>
        <w:tc>
          <w:tcPr>
            <w:tcW w:w="7100" w:type="dxa"/>
          </w:tcPr>
          <w:p w:rsidR="00AF207A" w:rsidRPr="00FA14EF" w:rsidRDefault="00D32C8F" w:rsidP="00B302D9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Boston, Cambridge, Somerville, Watertown</w:t>
            </w:r>
            <w:r w:rsidR="00AF207A" w:rsidRPr="00FA14EF">
              <w:rPr>
                <w:color w:val="auto"/>
              </w:rPr>
              <w:t xml:space="preserve">: </w:t>
            </w:r>
            <w:r w:rsidRPr="00FA14EF">
              <w:rPr>
                <w:color w:val="auto"/>
              </w:rPr>
              <w:t>4.125%</w:t>
            </w:r>
          </w:p>
          <w:p w:rsidR="00AF207A" w:rsidRPr="00FA14EF" w:rsidRDefault="00D32C8F" w:rsidP="00B302D9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Other areas: 5</w:t>
            </w:r>
            <w:r w:rsidR="00AF207A" w:rsidRPr="00FA14EF">
              <w:rPr>
                <w:color w:val="auto"/>
              </w:rPr>
              <w:t>%</w:t>
            </w:r>
          </w:p>
          <w:p w:rsidR="00A33D65" w:rsidRPr="00A33D65" w:rsidRDefault="00D32C8F" w:rsidP="00D803E2">
            <w:r w:rsidRPr="00FA14EF">
              <w:t>For profit borrowers add .5%</w:t>
            </w:r>
            <w:r w:rsidR="00FA14EF">
              <w:t xml:space="preserve">; </w:t>
            </w:r>
            <w:r w:rsidR="00A33D65">
              <w:t>Rates subject to change; call for latest information</w:t>
            </w:r>
          </w:p>
          <w:p w:rsidR="00AF207A" w:rsidRPr="00FA14EF" w:rsidRDefault="00AF207A" w:rsidP="00D803E2">
            <w:pPr>
              <w:pStyle w:val="Heading3"/>
            </w:pPr>
          </w:p>
        </w:tc>
      </w:tr>
      <w:tr w:rsidR="00FA14EF" w:rsidRPr="00FA14EF" w:rsidTr="00F108B1">
        <w:tc>
          <w:tcPr>
            <w:tcW w:w="2250" w:type="dxa"/>
          </w:tcPr>
          <w:p w:rsidR="00AF207A" w:rsidRPr="00FA14EF" w:rsidRDefault="00AF207A" w:rsidP="00F108B1">
            <w:pPr>
              <w:pStyle w:val="Heading2"/>
              <w:outlineLvl w:val="1"/>
              <w:rPr>
                <w:smallCaps/>
                <w:color w:val="auto"/>
              </w:rPr>
            </w:pPr>
            <w:r w:rsidRPr="00FA14EF">
              <w:rPr>
                <w:smallCaps/>
                <w:color w:val="auto"/>
              </w:rPr>
              <w:t>Term</w:t>
            </w:r>
          </w:p>
        </w:tc>
        <w:tc>
          <w:tcPr>
            <w:tcW w:w="7100" w:type="dxa"/>
          </w:tcPr>
          <w:p w:rsidR="00AF207A" w:rsidRPr="00FA14EF" w:rsidRDefault="00AF207A" w:rsidP="00B302D9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2-3 years. Repayment is due at earlier of maturity or closing of construction financing</w:t>
            </w:r>
          </w:p>
          <w:p w:rsidR="00AF207A" w:rsidRPr="00FA14EF" w:rsidRDefault="00AF207A" w:rsidP="00B302D9"/>
        </w:tc>
      </w:tr>
      <w:tr w:rsidR="00FA14EF" w:rsidRPr="00FA14EF" w:rsidTr="00F108B1">
        <w:tc>
          <w:tcPr>
            <w:tcW w:w="2250" w:type="dxa"/>
          </w:tcPr>
          <w:p w:rsidR="00AF207A" w:rsidRPr="00FA14EF" w:rsidRDefault="00AF207A" w:rsidP="00F108B1">
            <w:pPr>
              <w:pStyle w:val="Heading2"/>
              <w:outlineLvl w:val="1"/>
              <w:rPr>
                <w:smallCaps/>
                <w:color w:val="auto"/>
              </w:rPr>
            </w:pPr>
            <w:r w:rsidRPr="00FA14EF">
              <w:rPr>
                <w:smallCaps/>
                <w:color w:val="auto"/>
              </w:rPr>
              <w:t>Guaranty/Recourse</w:t>
            </w:r>
          </w:p>
        </w:tc>
        <w:tc>
          <w:tcPr>
            <w:tcW w:w="7100" w:type="dxa"/>
          </w:tcPr>
          <w:p w:rsidR="00AF207A" w:rsidRPr="00FA14EF" w:rsidRDefault="00AF207A" w:rsidP="00B302D9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ETODAF loans are recourse loans</w:t>
            </w:r>
          </w:p>
          <w:p w:rsidR="00AF207A" w:rsidRPr="00FA14EF" w:rsidRDefault="00AF207A" w:rsidP="00B302D9"/>
        </w:tc>
      </w:tr>
      <w:tr w:rsidR="00FA14EF" w:rsidRPr="00FA14EF" w:rsidTr="00F108B1">
        <w:tc>
          <w:tcPr>
            <w:tcW w:w="2250" w:type="dxa"/>
          </w:tcPr>
          <w:p w:rsidR="00AF207A" w:rsidRPr="00FA14EF" w:rsidRDefault="00AF207A" w:rsidP="00F108B1">
            <w:pPr>
              <w:pStyle w:val="Heading2"/>
              <w:outlineLvl w:val="1"/>
              <w:rPr>
                <w:smallCaps/>
                <w:color w:val="auto"/>
              </w:rPr>
            </w:pPr>
            <w:r w:rsidRPr="00FA14EF">
              <w:rPr>
                <w:smallCaps/>
                <w:color w:val="auto"/>
              </w:rPr>
              <w:t>Security</w:t>
            </w:r>
          </w:p>
        </w:tc>
        <w:tc>
          <w:tcPr>
            <w:tcW w:w="7100" w:type="dxa"/>
          </w:tcPr>
          <w:p w:rsidR="00AF207A" w:rsidRPr="00FA14EF" w:rsidRDefault="00AF207A" w:rsidP="00B302D9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Second priority mortgage on project real estate</w:t>
            </w:r>
            <w:r w:rsidR="00D32C8F" w:rsidRPr="00FA14EF">
              <w:rPr>
                <w:color w:val="auto"/>
              </w:rPr>
              <w:t xml:space="preserve">; </w:t>
            </w:r>
          </w:p>
          <w:p w:rsidR="00D32C8F" w:rsidRPr="00FA14EF" w:rsidRDefault="00D32C8F" w:rsidP="00D32C8F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For public sites</w:t>
            </w:r>
            <w:r w:rsidR="00FA14EF" w:rsidRPr="00FA14EF">
              <w:rPr>
                <w:color w:val="auto"/>
              </w:rPr>
              <w:t>, guarantees or alternative support and security arrangements with the municipality will be required</w:t>
            </w:r>
          </w:p>
          <w:p w:rsidR="00AF207A" w:rsidRPr="00FA14EF" w:rsidRDefault="00AF207A" w:rsidP="00B302D9"/>
        </w:tc>
      </w:tr>
      <w:tr w:rsidR="00FA14EF" w:rsidRPr="00FA14EF" w:rsidTr="00F108B1">
        <w:tc>
          <w:tcPr>
            <w:tcW w:w="2250" w:type="dxa"/>
          </w:tcPr>
          <w:p w:rsidR="00AF207A" w:rsidRPr="00FA14EF" w:rsidRDefault="00AF207A" w:rsidP="00F108B1">
            <w:pPr>
              <w:pStyle w:val="Heading2"/>
              <w:outlineLvl w:val="1"/>
              <w:rPr>
                <w:smallCaps/>
                <w:color w:val="auto"/>
              </w:rPr>
            </w:pPr>
            <w:r w:rsidRPr="00FA14EF">
              <w:rPr>
                <w:smallCaps/>
                <w:color w:val="auto"/>
              </w:rPr>
              <w:t>Fees</w:t>
            </w:r>
          </w:p>
        </w:tc>
        <w:tc>
          <w:tcPr>
            <w:tcW w:w="7100" w:type="dxa"/>
          </w:tcPr>
          <w:p w:rsidR="00AF207A" w:rsidRPr="00FA14EF" w:rsidRDefault="00AF207A" w:rsidP="00B302D9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1% of loan amount; 50% payable on acceptance of term sheet, remainder due at closing</w:t>
            </w:r>
          </w:p>
          <w:p w:rsidR="00AF207A" w:rsidRPr="00FA14EF" w:rsidRDefault="00AF207A" w:rsidP="00B302D9"/>
          <w:p w:rsidR="00AF207A" w:rsidRPr="00FA14EF" w:rsidRDefault="00AF207A" w:rsidP="00B302D9">
            <w:pPr>
              <w:pStyle w:val="Heading3"/>
              <w:outlineLvl w:val="2"/>
              <w:rPr>
                <w:color w:val="auto"/>
              </w:rPr>
            </w:pPr>
            <w:r w:rsidRPr="00FA14EF">
              <w:rPr>
                <w:color w:val="auto"/>
              </w:rPr>
              <w:t>Lender Legal Fees to be paid by borrower but every effort will be made to streamline the closing process in coordination with Lead Lender</w:t>
            </w:r>
          </w:p>
        </w:tc>
      </w:tr>
    </w:tbl>
    <w:p w:rsidR="00AF207A" w:rsidRPr="00FA14EF" w:rsidRDefault="00AF207A" w:rsidP="00DB08CC"/>
    <w:sectPr w:rsidR="00AF207A" w:rsidRPr="00FA14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CC" w:rsidRDefault="007E4ECC" w:rsidP="001619D6">
      <w:pPr>
        <w:spacing w:after="0" w:line="240" w:lineRule="auto"/>
      </w:pPr>
      <w:r>
        <w:separator/>
      </w:r>
    </w:p>
  </w:endnote>
  <w:endnote w:type="continuationSeparator" w:id="0">
    <w:p w:rsidR="007E4ECC" w:rsidRDefault="007E4ECC" w:rsidP="0016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CC" w:rsidRDefault="007E4ECC" w:rsidP="001619D6">
      <w:pPr>
        <w:spacing w:after="0" w:line="240" w:lineRule="auto"/>
      </w:pPr>
      <w:r>
        <w:separator/>
      </w:r>
    </w:p>
  </w:footnote>
  <w:footnote w:type="continuationSeparator" w:id="0">
    <w:p w:rsidR="007E4ECC" w:rsidRDefault="007E4ECC" w:rsidP="0016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D6" w:rsidRDefault="001619D6" w:rsidP="001619D6">
    <w:pPr>
      <w:pStyle w:val="Header"/>
      <w:jc w:val="center"/>
    </w:pPr>
    <w:r>
      <w:t>Summary Of Terms</w:t>
    </w:r>
  </w:p>
  <w:p w:rsidR="001619D6" w:rsidRDefault="001619D6" w:rsidP="001619D6">
    <w:pPr>
      <w:pStyle w:val="Header"/>
      <w:jc w:val="center"/>
    </w:pPr>
    <w:r>
      <w:t>ETODAF Predevelopment Only Loans</w:t>
    </w:r>
  </w:p>
  <w:p w:rsidR="001619D6" w:rsidRDefault="001619D6" w:rsidP="001619D6">
    <w:pPr>
      <w:pStyle w:val="Header"/>
      <w:jc w:val="center"/>
    </w:pPr>
  </w:p>
  <w:p w:rsidR="001619D6" w:rsidRDefault="001619D6" w:rsidP="001619D6">
    <w:pPr>
      <w:pStyle w:val="Header"/>
    </w:pPr>
    <w:r>
      <w:t>ETODAF will make Predevelopment loans to projects not needing acquisition financing. LISC will be the lead lender for these loans and will handle all origination, underwriting, closing and disbursement.</w:t>
    </w:r>
  </w:p>
  <w:p w:rsidR="001619D6" w:rsidRDefault="001619D6" w:rsidP="001619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E3E26"/>
    <w:multiLevelType w:val="hybridMultilevel"/>
    <w:tmpl w:val="0C12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C"/>
    <w:rsid w:val="001619D6"/>
    <w:rsid w:val="007E4ECC"/>
    <w:rsid w:val="008B6FB3"/>
    <w:rsid w:val="00A33D65"/>
    <w:rsid w:val="00AD4762"/>
    <w:rsid w:val="00AF207A"/>
    <w:rsid w:val="00D32C8F"/>
    <w:rsid w:val="00D803E2"/>
    <w:rsid w:val="00DB08CC"/>
    <w:rsid w:val="00F108B1"/>
    <w:rsid w:val="00F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17400-58CF-4A6C-8589-32FE4D25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8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B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08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0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D6"/>
  </w:style>
  <w:style w:type="paragraph" w:styleId="Footer">
    <w:name w:val="footer"/>
    <w:basedOn w:val="Normal"/>
    <w:link w:val="FooterChar"/>
    <w:uiPriority w:val="99"/>
    <w:unhideWhenUsed/>
    <w:rsid w:val="0016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</dc:creator>
  <cp:keywords/>
  <dc:description/>
  <cp:lastModifiedBy>Madeline Nash</cp:lastModifiedBy>
  <cp:revision>2</cp:revision>
  <cp:lastPrinted>2014-10-28T20:45:00Z</cp:lastPrinted>
  <dcterms:created xsi:type="dcterms:W3CDTF">2014-10-28T20:47:00Z</dcterms:created>
  <dcterms:modified xsi:type="dcterms:W3CDTF">2014-10-28T20:47:00Z</dcterms:modified>
</cp:coreProperties>
</file>