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75" w:rsidRPr="00B845C3" w:rsidRDefault="00296475" w:rsidP="00B845C3">
      <w:pPr>
        <w:spacing w:after="0"/>
        <w:jc w:val="center"/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 w:rsidRPr="00B845C3">
        <w:rPr>
          <w:rFonts w:asciiTheme="majorHAnsi" w:hAnsiTheme="majorHAnsi"/>
          <w:b/>
          <w:color w:val="2E74B5" w:themeColor="accent1" w:themeShade="BF"/>
          <w:sz w:val="24"/>
          <w:szCs w:val="24"/>
        </w:rPr>
        <w:t>Summary of Terms</w:t>
      </w:r>
    </w:p>
    <w:p w:rsidR="00B845C3" w:rsidRPr="00B845C3" w:rsidRDefault="00B845C3" w:rsidP="00B845C3">
      <w:pPr>
        <w:spacing w:after="0"/>
        <w:jc w:val="center"/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  <w:r w:rsidRPr="00B845C3">
        <w:rPr>
          <w:rFonts w:asciiTheme="majorHAnsi" w:hAnsiTheme="majorHAnsi"/>
          <w:b/>
          <w:color w:val="2E74B5" w:themeColor="accent1" w:themeShade="BF"/>
          <w:sz w:val="24"/>
          <w:szCs w:val="24"/>
        </w:rPr>
        <w:t xml:space="preserve">Equitable Transit Oriented Development Accelerator Fund </w:t>
      </w:r>
    </w:p>
    <w:p w:rsidR="00296475" w:rsidRPr="00B845C3" w:rsidRDefault="00296475" w:rsidP="00B845C3">
      <w:pPr>
        <w:spacing w:after="0"/>
        <w:jc w:val="center"/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  <w:r w:rsidRPr="00B845C3">
        <w:rPr>
          <w:rFonts w:asciiTheme="majorHAnsi" w:hAnsiTheme="majorHAnsi"/>
          <w:b/>
          <w:color w:val="2E74B5" w:themeColor="accent1" w:themeShade="BF"/>
          <w:sz w:val="24"/>
          <w:szCs w:val="24"/>
        </w:rPr>
        <w:t>Acquisition Loans and Acquisition/Predevelopment Loans</w:t>
      </w:r>
    </w:p>
    <w:p w:rsidR="00B845C3" w:rsidRDefault="00B845C3">
      <w:pPr>
        <w:rPr>
          <w:rFonts w:asciiTheme="majorHAnsi" w:hAnsiTheme="majorHAnsi"/>
          <w:sz w:val="24"/>
          <w:szCs w:val="24"/>
        </w:rPr>
      </w:pPr>
    </w:p>
    <w:p w:rsidR="00296475" w:rsidRPr="00A94C55" w:rsidRDefault="00296475">
      <w:pPr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>AMOUNT OF LOAN</w:t>
      </w:r>
      <w:r w:rsidRPr="00A94C55">
        <w:rPr>
          <w:rFonts w:asciiTheme="majorHAnsi" w:hAnsiTheme="majorHAnsi"/>
          <w:sz w:val="24"/>
          <w:szCs w:val="24"/>
        </w:rPr>
        <w:tab/>
        <w:t>$200,000 - $1,500,000</w:t>
      </w:r>
    </w:p>
    <w:p w:rsidR="00296475" w:rsidRPr="00A94C55" w:rsidRDefault="00296475" w:rsidP="00296475">
      <w:pPr>
        <w:ind w:left="2160" w:hanging="2160"/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 xml:space="preserve">ELIGIBLE USES   </w:t>
      </w:r>
      <w:r w:rsidRPr="00A94C55">
        <w:rPr>
          <w:rFonts w:asciiTheme="majorHAnsi" w:hAnsiTheme="majorHAnsi"/>
          <w:sz w:val="24"/>
          <w:szCs w:val="24"/>
        </w:rPr>
        <w:tab/>
        <w:t xml:space="preserve">Acquisition </w:t>
      </w:r>
      <w:r w:rsidR="00312421" w:rsidRPr="00312421">
        <w:rPr>
          <w:rFonts w:asciiTheme="majorHAnsi" w:hAnsiTheme="majorHAnsi"/>
          <w:b/>
          <w:sz w:val="24"/>
          <w:szCs w:val="24"/>
        </w:rPr>
        <w:t>gap</w:t>
      </w:r>
      <w:r w:rsidR="00312421">
        <w:rPr>
          <w:rFonts w:asciiTheme="majorHAnsi" w:hAnsiTheme="majorHAnsi"/>
          <w:sz w:val="24"/>
          <w:szCs w:val="24"/>
        </w:rPr>
        <w:t xml:space="preserve"> financing</w:t>
      </w:r>
      <w:r w:rsidRPr="00A94C55">
        <w:rPr>
          <w:rFonts w:asciiTheme="majorHAnsi" w:hAnsiTheme="majorHAnsi"/>
          <w:sz w:val="24"/>
          <w:szCs w:val="24"/>
        </w:rPr>
        <w:t>, holding costs, and eligible predevelopment costs for TOD properties meeting the Fund’s TOD criteria.</w:t>
      </w:r>
    </w:p>
    <w:p w:rsidR="00296475" w:rsidRPr="00A94C55" w:rsidRDefault="00296475" w:rsidP="00296475">
      <w:pPr>
        <w:ind w:left="2160" w:hanging="2160"/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ab/>
        <w:t xml:space="preserve">Eligible projects include </w:t>
      </w:r>
    </w:p>
    <w:p w:rsidR="00296475" w:rsidRPr="00A94C55" w:rsidRDefault="00296475" w:rsidP="0029647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>New or preservation affordable housing</w:t>
      </w:r>
    </w:p>
    <w:p w:rsidR="00296475" w:rsidRPr="00A94C55" w:rsidRDefault="00296475" w:rsidP="0029647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>Mixed Income housing</w:t>
      </w:r>
    </w:p>
    <w:p w:rsidR="00296475" w:rsidRPr="00A94C55" w:rsidRDefault="00296475" w:rsidP="0029647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>Mixed Use housing</w:t>
      </w:r>
    </w:p>
    <w:p w:rsidR="00296475" w:rsidRPr="00A94C55" w:rsidRDefault="00331551" w:rsidP="00A20BCD">
      <w:pPr>
        <w:ind w:left="2160" w:hanging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AFFORDABILITY</w:t>
      </w:r>
      <w:r>
        <w:rPr>
          <w:rFonts w:asciiTheme="majorHAnsi" w:hAnsiTheme="majorHAnsi"/>
          <w:sz w:val="24"/>
          <w:szCs w:val="24"/>
        </w:rPr>
        <w:tab/>
      </w:r>
      <w:r w:rsidR="00296475" w:rsidRPr="00A94C55">
        <w:rPr>
          <w:rFonts w:asciiTheme="majorHAnsi" w:hAnsiTheme="majorHAnsi"/>
          <w:sz w:val="24"/>
          <w:szCs w:val="24"/>
        </w:rPr>
        <w:t xml:space="preserve">At least 25% of the units must be affordable </w:t>
      </w:r>
      <w:r w:rsidR="00A20BCD">
        <w:rPr>
          <w:rFonts w:asciiTheme="majorHAnsi" w:hAnsiTheme="majorHAnsi"/>
          <w:sz w:val="24"/>
          <w:szCs w:val="24"/>
        </w:rPr>
        <w:t xml:space="preserve">to households below 80% of AMI. </w:t>
      </w:r>
      <w:r w:rsidR="00296475" w:rsidRPr="00A94C55">
        <w:rPr>
          <w:rFonts w:asciiTheme="majorHAnsi" w:hAnsiTheme="majorHAnsi"/>
          <w:sz w:val="24"/>
          <w:szCs w:val="24"/>
        </w:rPr>
        <w:t xml:space="preserve">Higher standards may apply in areas where gentrification is </w:t>
      </w:r>
      <w:r>
        <w:rPr>
          <w:rFonts w:asciiTheme="majorHAnsi" w:hAnsiTheme="majorHAnsi"/>
          <w:sz w:val="24"/>
          <w:szCs w:val="24"/>
        </w:rPr>
        <w:t>occurring.</w:t>
      </w:r>
    </w:p>
    <w:p w:rsidR="00296475" w:rsidRPr="00A94C55" w:rsidRDefault="00296475" w:rsidP="00296475">
      <w:pPr>
        <w:ind w:left="2160"/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 xml:space="preserve">Project must comply with the </w:t>
      </w:r>
      <w:r w:rsidRPr="00A94C55">
        <w:rPr>
          <w:rFonts w:asciiTheme="majorHAnsi" w:hAnsiTheme="majorHAnsi"/>
          <w:i/>
          <w:sz w:val="24"/>
          <w:szCs w:val="24"/>
        </w:rPr>
        <w:t xml:space="preserve">Mass Interagency Agreement Regarding Housing Opportunities for Families with Children (1/2014) </w:t>
      </w:r>
      <w:r w:rsidRPr="00A94C55">
        <w:rPr>
          <w:rFonts w:asciiTheme="majorHAnsi" w:hAnsiTheme="majorHAnsi"/>
          <w:sz w:val="24"/>
          <w:szCs w:val="24"/>
        </w:rPr>
        <w:t>and should include 10% 3 bedroom units unless specifically waived.</w:t>
      </w:r>
    </w:p>
    <w:p w:rsidR="00762A43" w:rsidRPr="00A94C55" w:rsidRDefault="00762A43" w:rsidP="00762A43">
      <w:pPr>
        <w:ind w:left="2160" w:hanging="2160"/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>MAXIMUM LTV</w:t>
      </w:r>
      <w:r w:rsidRPr="00A94C55">
        <w:rPr>
          <w:rFonts w:asciiTheme="majorHAnsi" w:hAnsiTheme="majorHAnsi"/>
          <w:sz w:val="24"/>
          <w:szCs w:val="24"/>
        </w:rPr>
        <w:tab/>
        <w:t>When combined with Lead Lender loans, up to 100% of appraised value of the real estate and up to 120% of the value when including holding and predevelopment costs.</w:t>
      </w:r>
    </w:p>
    <w:p w:rsidR="00762A43" w:rsidRPr="00A94C55" w:rsidRDefault="00762A43" w:rsidP="00762A43">
      <w:pPr>
        <w:ind w:left="2160" w:hanging="2160"/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>RATE</w:t>
      </w:r>
      <w:r w:rsidRPr="00A94C55">
        <w:rPr>
          <w:rFonts w:asciiTheme="majorHAnsi" w:hAnsiTheme="majorHAnsi"/>
          <w:sz w:val="24"/>
          <w:szCs w:val="24"/>
        </w:rPr>
        <w:tab/>
        <w:t>Non-profit borrowers: Fixed rate of 3.75%                                                                 For-profit borrowers: Fixed rate of 4.25%</w:t>
      </w:r>
    </w:p>
    <w:p w:rsidR="00762A43" w:rsidRPr="00A94C55" w:rsidRDefault="00762A43" w:rsidP="00762A43">
      <w:pPr>
        <w:ind w:left="2160" w:hanging="2160"/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>TERM</w:t>
      </w:r>
      <w:r w:rsidRPr="00A94C55">
        <w:rPr>
          <w:rFonts w:asciiTheme="majorHAnsi" w:hAnsiTheme="majorHAnsi"/>
          <w:sz w:val="24"/>
          <w:szCs w:val="24"/>
        </w:rPr>
        <w:tab/>
        <w:t>2-3 years. Repayment is due at earlier of maturity or closing of construction financing.</w:t>
      </w:r>
    </w:p>
    <w:p w:rsidR="00762A43" w:rsidRPr="00A94C55" w:rsidRDefault="00762A43" w:rsidP="00762A43">
      <w:pPr>
        <w:ind w:left="2160" w:hanging="2160"/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>GUARANTY/RECOURSE</w:t>
      </w:r>
      <w:r w:rsidRPr="00A94C55">
        <w:rPr>
          <w:rFonts w:asciiTheme="majorHAnsi" w:hAnsiTheme="majorHAnsi"/>
          <w:sz w:val="24"/>
          <w:szCs w:val="24"/>
        </w:rPr>
        <w:tab/>
        <w:t>ETODAF loans are recourse loans</w:t>
      </w:r>
    </w:p>
    <w:p w:rsidR="00762A43" w:rsidRPr="00A94C55" w:rsidRDefault="00762A43" w:rsidP="00762A43">
      <w:pPr>
        <w:ind w:left="2160" w:hanging="2160"/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>SECURITY</w:t>
      </w:r>
      <w:r w:rsidRPr="00A94C55">
        <w:rPr>
          <w:rFonts w:asciiTheme="majorHAnsi" w:hAnsiTheme="majorHAnsi"/>
          <w:sz w:val="24"/>
          <w:szCs w:val="24"/>
        </w:rPr>
        <w:tab/>
        <w:t>Second priority mortgage on project real estate</w:t>
      </w:r>
    </w:p>
    <w:p w:rsidR="00762A43" w:rsidRPr="00A94C55" w:rsidRDefault="00762A43" w:rsidP="00762A43">
      <w:pPr>
        <w:ind w:left="2160" w:hanging="2160"/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>FEES</w:t>
      </w:r>
      <w:r w:rsidRPr="00A94C55">
        <w:rPr>
          <w:rFonts w:asciiTheme="majorHAnsi" w:hAnsiTheme="majorHAnsi"/>
          <w:sz w:val="24"/>
          <w:szCs w:val="24"/>
        </w:rPr>
        <w:tab/>
        <w:t>1% of loan amount; 50% payable on acceptance of term sheet, remainder due at closing</w:t>
      </w:r>
    </w:p>
    <w:p w:rsidR="00296475" w:rsidRDefault="00762A43" w:rsidP="00DB2304">
      <w:pPr>
        <w:ind w:left="2160" w:hanging="2160"/>
        <w:rPr>
          <w:rFonts w:asciiTheme="majorHAnsi" w:hAnsiTheme="majorHAnsi"/>
          <w:sz w:val="24"/>
          <w:szCs w:val="24"/>
        </w:rPr>
      </w:pPr>
      <w:r w:rsidRPr="00A94C55">
        <w:rPr>
          <w:rFonts w:asciiTheme="majorHAnsi" w:hAnsiTheme="majorHAnsi"/>
          <w:sz w:val="24"/>
          <w:szCs w:val="24"/>
        </w:rPr>
        <w:tab/>
        <w:t>Lender Legal Fees to be paid by borrower but every effort will be made to streamline the closing process in coordination with Lead Lender.</w:t>
      </w:r>
    </w:p>
    <w:p w:rsidR="00A87403" w:rsidRPr="00296475" w:rsidRDefault="00A87403" w:rsidP="00DB2304">
      <w:pPr>
        <w:ind w:left="2160" w:hanging="2160"/>
        <w:rPr>
          <w:rFonts w:asciiTheme="majorHAnsi" w:hAnsiTheme="majorHAnsi"/>
        </w:rPr>
      </w:pPr>
      <w:r w:rsidRPr="007011EB">
        <w:rPr>
          <w:rFonts w:asciiTheme="majorHAnsi" w:hAnsiTheme="majorHAnsi"/>
          <w:b/>
          <w:sz w:val="24"/>
          <w:szCs w:val="24"/>
        </w:rPr>
        <w:t>For more information contact M</w:t>
      </w:r>
      <w:r>
        <w:rPr>
          <w:rFonts w:asciiTheme="majorHAnsi" w:hAnsiTheme="majorHAnsi"/>
          <w:b/>
          <w:sz w:val="24"/>
          <w:szCs w:val="24"/>
        </w:rPr>
        <w:t>ike Davis at LISC: (617) 410-4334 or mdavis@lisc.org</w:t>
      </w:r>
    </w:p>
    <w:sectPr w:rsidR="00A87403" w:rsidRPr="002964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05" w:rsidRDefault="00786905" w:rsidP="00296475">
      <w:pPr>
        <w:spacing w:after="0" w:line="240" w:lineRule="auto"/>
      </w:pPr>
      <w:r>
        <w:separator/>
      </w:r>
    </w:p>
  </w:endnote>
  <w:endnote w:type="continuationSeparator" w:id="0">
    <w:p w:rsidR="00786905" w:rsidRDefault="00786905" w:rsidP="0029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05" w:rsidRDefault="00786905" w:rsidP="00296475">
      <w:pPr>
        <w:spacing w:after="0" w:line="240" w:lineRule="auto"/>
      </w:pPr>
      <w:r>
        <w:separator/>
      </w:r>
    </w:p>
  </w:footnote>
  <w:footnote w:type="continuationSeparator" w:id="0">
    <w:p w:rsidR="00786905" w:rsidRDefault="00786905" w:rsidP="0029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75" w:rsidRDefault="00786905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.05pt;margin-top:.2pt;width:180pt;height:63pt;z-index:251658240">
          <v:imagedata r:id="rId1" o:title=""/>
          <w10:wrap type="topAndBottom"/>
        </v:shape>
        <o:OLEObject Type="Embed" ProgID="MSPhotoEd.3" ShapeID="_x0000_s2049" DrawAspect="Content" ObjectID="_15799576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749"/>
    <w:multiLevelType w:val="hybridMultilevel"/>
    <w:tmpl w:val="B39E5D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75"/>
    <w:rsid w:val="00173B55"/>
    <w:rsid w:val="001A2225"/>
    <w:rsid w:val="001E6E0D"/>
    <w:rsid w:val="00296475"/>
    <w:rsid w:val="00312421"/>
    <w:rsid w:val="00331551"/>
    <w:rsid w:val="004A458E"/>
    <w:rsid w:val="0064092E"/>
    <w:rsid w:val="00762A43"/>
    <w:rsid w:val="00786905"/>
    <w:rsid w:val="00795B54"/>
    <w:rsid w:val="00A20BCD"/>
    <w:rsid w:val="00A87403"/>
    <w:rsid w:val="00A94C55"/>
    <w:rsid w:val="00B845C3"/>
    <w:rsid w:val="00CC27CD"/>
    <w:rsid w:val="00CD3F7C"/>
    <w:rsid w:val="00DB2304"/>
    <w:rsid w:val="00E16BEE"/>
    <w:rsid w:val="00F1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5670D0-0E9D-4D92-866E-F5E6FDAD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75"/>
  </w:style>
  <w:style w:type="paragraph" w:styleId="Footer">
    <w:name w:val="footer"/>
    <w:basedOn w:val="Normal"/>
    <w:link w:val="FooterChar"/>
    <w:uiPriority w:val="99"/>
    <w:unhideWhenUsed/>
    <w:rsid w:val="0029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75"/>
  </w:style>
  <w:style w:type="paragraph" w:styleId="ListParagraph">
    <w:name w:val="List Paragraph"/>
    <w:basedOn w:val="Normal"/>
    <w:uiPriority w:val="34"/>
    <w:qFormat/>
    <w:rsid w:val="00296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LISC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Sanchez</dc:creator>
  <cp:keywords/>
  <dc:description/>
  <cp:lastModifiedBy>Marilyn Sanchez</cp:lastModifiedBy>
  <cp:revision>2</cp:revision>
  <cp:lastPrinted>2014-12-16T20:24:00Z</cp:lastPrinted>
  <dcterms:created xsi:type="dcterms:W3CDTF">2018-02-12T21:22:00Z</dcterms:created>
  <dcterms:modified xsi:type="dcterms:W3CDTF">2018-02-12T21:22:00Z</dcterms:modified>
</cp:coreProperties>
</file>